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B73ED" w14:textId="420F6FAF" w:rsidR="00672F44" w:rsidRPr="008C1FD1" w:rsidRDefault="00672F44" w:rsidP="00672F44">
      <w:pPr>
        <w:tabs>
          <w:tab w:val="left" w:pos="0"/>
        </w:tabs>
        <w:spacing w:after="0" w:line="240" w:lineRule="auto"/>
        <w:jc w:val="center"/>
        <w:rPr>
          <w:rFonts w:ascii="Arial" w:eastAsia="Times New Roman" w:hAnsi="Arial" w:cs="Arial"/>
          <w:b/>
          <w:bCs/>
        </w:rPr>
      </w:pPr>
      <w:r w:rsidRPr="008C1FD1">
        <w:rPr>
          <w:rFonts w:ascii="Arial" w:eastAsia="Times New Roman" w:hAnsi="Arial" w:cs="Arial"/>
          <w:b/>
          <w:bCs/>
        </w:rPr>
        <w:t xml:space="preserve">LINDFIELD JUNIOR RUGBY </w:t>
      </w:r>
      <w:r w:rsidR="000A62F1" w:rsidRPr="008C1FD1">
        <w:rPr>
          <w:rFonts w:ascii="Arial" w:eastAsia="Times New Roman" w:hAnsi="Arial" w:cs="Arial"/>
          <w:b/>
          <w:bCs/>
        </w:rPr>
        <w:t>CLUB (</w:t>
      </w:r>
      <w:r w:rsidRPr="008C1FD1">
        <w:rPr>
          <w:rFonts w:ascii="Arial" w:eastAsia="Times New Roman" w:hAnsi="Arial" w:cs="Arial"/>
          <w:b/>
          <w:bCs/>
        </w:rPr>
        <w:t>“LJRC”)</w:t>
      </w:r>
    </w:p>
    <w:p w14:paraId="5A5D050E" w14:textId="77777777" w:rsidR="000860AE" w:rsidRDefault="000860AE" w:rsidP="00672F44">
      <w:pPr>
        <w:tabs>
          <w:tab w:val="left" w:pos="0"/>
        </w:tabs>
        <w:spacing w:after="0" w:line="240" w:lineRule="auto"/>
        <w:jc w:val="center"/>
        <w:rPr>
          <w:rFonts w:ascii="Arial" w:eastAsia="Times New Roman" w:hAnsi="Arial" w:cs="Arial"/>
          <w:b/>
          <w:bCs/>
        </w:rPr>
      </w:pPr>
    </w:p>
    <w:p w14:paraId="22AB0DB6" w14:textId="40560D04" w:rsidR="00672F44" w:rsidRPr="008C1FD1" w:rsidRDefault="005D6DD0" w:rsidP="00672F44">
      <w:pPr>
        <w:tabs>
          <w:tab w:val="left" w:pos="0"/>
        </w:tabs>
        <w:spacing w:after="0" w:line="240" w:lineRule="auto"/>
        <w:jc w:val="center"/>
        <w:rPr>
          <w:rFonts w:ascii="Arial" w:eastAsia="Times New Roman" w:hAnsi="Arial" w:cs="Arial"/>
          <w:b/>
          <w:bCs/>
        </w:rPr>
      </w:pPr>
      <w:r>
        <w:rPr>
          <w:rFonts w:ascii="Arial" w:eastAsia="Times New Roman" w:hAnsi="Arial" w:cs="Arial"/>
          <w:b/>
          <w:bCs/>
        </w:rPr>
        <w:t>Our Village</w:t>
      </w:r>
      <w:r w:rsidR="006D45E2">
        <w:rPr>
          <w:rFonts w:ascii="Arial" w:eastAsia="Times New Roman" w:hAnsi="Arial" w:cs="Arial"/>
          <w:b/>
          <w:bCs/>
        </w:rPr>
        <w:t xml:space="preserve"> 2021 </w:t>
      </w:r>
      <w:r>
        <w:rPr>
          <w:rFonts w:ascii="Arial" w:eastAsia="Times New Roman" w:hAnsi="Arial" w:cs="Arial"/>
          <w:b/>
          <w:bCs/>
        </w:rPr>
        <w:t>FUNDRAISING</w:t>
      </w:r>
      <w:r w:rsidR="00953629">
        <w:rPr>
          <w:rFonts w:ascii="Arial" w:eastAsia="Times New Roman" w:hAnsi="Arial" w:cs="Arial"/>
          <w:b/>
          <w:bCs/>
        </w:rPr>
        <w:t xml:space="preserve"> </w:t>
      </w:r>
    </w:p>
    <w:p w14:paraId="1739C4F4" w14:textId="77777777" w:rsidR="00672F44" w:rsidRPr="008C1FD1" w:rsidRDefault="00672F44" w:rsidP="00672F44">
      <w:pPr>
        <w:tabs>
          <w:tab w:val="left" w:pos="0"/>
        </w:tabs>
        <w:spacing w:after="0" w:line="240" w:lineRule="auto"/>
        <w:jc w:val="center"/>
        <w:rPr>
          <w:rFonts w:ascii="Arial" w:eastAsia="Times New Roman" w:hAnsi="Arial" w:cs="Arial"/>
          <w:b/>
          <w:bCs/>
          <w:color w:val="FF0000"/>
        </w:rPr>
      </w:pPr>
    </w:p>
    <w:p w14:paraId="1E458335" w14:textId="77777777" w:rsidR="00672F44" w:rsidRPr="008C1FD1" w:rsidRDefault="00672F44" w:rsidP="00672F44">
      <w:pPr>
        <w:tabs>
          <w:tab w:val="left" w:pos="0"/>
        </w:tabs>
        <w:spacing w:after="0" w:line="240" w:lineRule="auto"/>
        <w:jc w:val="center"/>
        <w:rPr>
          <w:rFonts w:ascii="Arial" w:eastAsia="Times New Roman" w:hAnsi="Arial" w:cs="Arial"/>
          <w:b/>
          <w:bCs/>
        </w:rPr>
      </w:pPr>
      <w:r w:rsidRPr="008C1FD1">
        <w:rPr>
          <w:rFonts w:ascii="Arial" w:eastAsia="Times New Roman" w:hAnsi="Arial" w:cs="Arial"/>
          <w:b/>
          <w:bCs/>
        </w:rPr>
        <w:t>TERMS AND CONDITIONS</w:t>
      </w:r>
    </w:p>
    <w:p w14:paraId="6BC7556D" w14:textId="77777777" w:rsidR="00672F44" w:rsidRPr="008C1FD1" w:rsidRDefault="00672F44" w:rsidP="00672F44">
      <w:pPr>
        <w:tabs>
          <w:tab w:val="left" w:pos="0"/>
        </w:tabs>
        <w:spacing w:after="0" w:line="240" w:lineRule="auto"/>
        <w:jc w:val="center"/>
        <w:rPr>
          <w:rFonts w:ascii="Arial" w:eastAsia="Times New Roman" w:hAnsi="Arial" w:cs="Arial"/>
          <w:b/>
          <w:bCs/>
        </w:rPr>
      </w:pPr>
      <w:r w:rsidRPr="008C1FD1">
        <w:rPr>
          <w:rFonts w:ascii="Arial" w:eastAsia="Times New Roman" w:hAnsi="Arial" w:cs="Arial"/>
          <w:b/>
          <w:bCs/>
        </w:rPr>
        <w:t xml:space="preserve"> </w:t>
      </w:r>
    </w:p>
    <w:p w14:paraId="59253A3F" w14:textId="77777777" w:rsidR="00672F44" w:rsidRPr="008C1FD1" w:rsidRDefault="00672F44" w:rsidP="00672F44">
      <w:pPr>
        <w:tabs>
          <w:tab w:val="left" w:pos="0"/>
        </w:tabs>
        <w:spacing w:after="0" w:line="240" w:lineRule="auto"/>
        <w:jc w:val="center"/>
        <w:rPr>
          <w:rFonts w:ascii="Arial" w:eastAsia="Times New Roman" w:hAnsi="Arial" w:cs="Arial"/>
          <w:b/>
          <w:bCs/>
        </w:rPr>
      </w:pPr>
    </w:p>
    <w:p w14:paraId="13DD1F48" w14:textId="77777777" w:rsidR="00220B9F" w:rsidRDefault="00672F44" w:rsidP="00220B9F">
      <w:pPr>
        <w:numPr>
          <w:ilvl w:val="0"/>
          <w:numId w:val="1"/>
        </w:numPr>
        <w:tabs>
          <w:tab w:val="num" w:pos="-720"/>
        </w:tabs>
        <w:spacing w:after="0" w:line="240" w:lineRule="auto"/>
        <w:jc w:val="both"/>
        <w:rPr>
          <w:rFonts w:ascii="Arial" w:eastAsia="Times New Roman" w:hAnsi="Arial" w:cs="Arial"/>
        </w:rPr>
      </w:pPr>
      <w:r w:rsidRPr="008C1FD1">
        <w:rPr>
          <w:rFonts w:ascii="Arial" w:eastAsia="Times New Roman" w:hAnsi="Arial" w:cs="Arial"/>
        </w:rPr>
        <w:t xml:space="preserve">Information on how to </w:t>
      </w:r>
      <w:r w:rsidR="00FE7C75">
        <w:rPr>
          <w:rFonts w:ascii="Arial" w:eastAsia="Times New Roman" w:hAnsi="Arial" w:cs="Arial"/>
        </w:rPr>
        <w:t xml:space="preserve">fundraise on behalf of LJRC </w:t>
      </w:r>
      <w:r w:rsidRPr="008C1FD1">
        <w:rPr>
          <w:rFonts w:ascii="Arial" w:eastAsia="Times New Roman" w:hAnsi="Arial" w:cs="Arial"/>
        </w:rPr>
        <w:t>form part of these Terms and Conditions. Participation in th</w:t>
      </w:r>
      <w:r w:rsidR="00CB6800">
        <w:rPr>
          <w:rFonts w:ascii="Arial" w:eastAsia="Times New Roman" w:hAnsi="Arial" w:cs="Arial"/>
        </w:rPr>
        <w:t>e LJRC Fundraising program</w:t>
      </w:r>
      <w:r w:rsidRPr="008C1FD1">
        <w:rPr>
          <w:rFonts w:ascii="Arial" w:eastAsia="Times New Roman" w:hAnsi="Arial" w:cs="Arial"/>
        </w:rPr>
        <w:t xml:space="preserve"> is deemed acceptance of these Terms and Conditions.</w:t>
      </w:r>
    </w:p>
    <w:p w14:paraId="2B56C331" w14:textId="77777777" w:rsidR="00730E9F" w:rsidRDefault="00730E9F" w:rsidP="00730E9F">
      <w:pPr>
        <w:spacing w:after="0" w:line="240" w:lineRule="auto"/>
        <w:jc w:val="both"/>
        <w:rPr>
          <w:rFonts w:ascii="Arial" w:eastAsia="Times New Roman" w:hAnsi="Arial" w:cs="Arial"/>
        </w:rPr>
      </w:pPr>
    </w:p>
    <w:p w14:paraId="1184E2F8" w14:textId="11F97DAB" w:rsidR="00672F44" w:rsidRPr="00220B9F" w:rsidRDefault="00672F44" w:rsidP="00220B9F">
      <w:pPr>
        <w:numPr>
          <w:ilvl w:val="0"/>
          <w:numId w:val="1"/>
        </w:numPr>
        <w:tabs>
          <w:tab w:val="num" w:pos="-720"/>
        </w:tabs>
        <w:spacing w:after="0" w:line="240" w:lineRule="auto"/>
        <w:jc w:val="both"/>
        <w:rPr>
          <w:rFonts w:ascii="Arial" w:eastAsia="Times New Roman" w:hAnsi="Arial" w:cs="Arial"/>
        </w:rPr>
      </w:pPr>
      <w:r w:rsidRPr="00220B9F">
        <w:rPr>
          <w:rFonts w:ascii="Arial" w:eastAsia="Times New Roman" w:hAnsi="Arial" w:cs="Arial"/>
        </w:rPr>
        <w:t xml:space="preserve">The Promoter reserves the right, at any time, to verify the validity of </w:t>
      </w:r>
      <w:r w:rsidR="00E84BC8" w:rsidRPr="00220B9F">
        <w:rPr>
          <w:rFonts w:ascii="Arial" w:eastAsia="Times New Roman" w:hAnsi="Arial" w:cs="Arial"/>
        </w:rPr>
        <w:t xml:space="preserve">the </w:t>
      </w:r>
      <w:r w:rsidR="001B73DC" w:rsidRPr="00220B9F">
        <w:rPr>
          <w:rFonts w:ascii="Arial" w:eastAsia="Times New Roman" w:hAnsi="Arial" w:cs="Arial"/>
        </w:rPr>
        <w:t xml:space="preserve">participating </w:t>
      </w:r>
      <w:r w:rsidR="00E84BC8" w:rsidRPr="00220B9F">
        <w:rPr>
          <w:rFonts w:ascii="Arial" w:eastAsia="Times New Roman" w:hAnsi="Arial" w:cs="Arial"/>
        </w:rPr>
        <w:t>merchant</w:t>
      </w:r>
      <w:r w:rsidR="001B73DC" w:rsidRPr="00220B9F">
        <w:rPr>
          <w:rFonts w:ascii="Arial" w:eastAsia="Times New Roman" w:hAnsi="Arial" w:cs="Arial"/>
        </w:rPr>
        <w:t xml:space="preserve"> transactions</w:t>
      </w:r>
      <w:r w:rsidR="009D4159" w:rsidRPr="00220B9F">
        <w:rPr>
          <w:rFonts w:ascii="Arial" w:eastAsia="Times New Roman" w:hAnsi="Arial" w:cs="Arial"/>
        </w:rPr>
        <w:t xml:space="preserve"> that are recorded LJRC members and supporters</w:t>
      </w:r>
      <w:r w:rsidRPr="00220B9F">
        <w:rPr>
          <w:rFonts w:ascii="Arial" w:eastAsia="Times New Roman" w:hAnsi="Arial" w:cs="Arial"/>
        </w:rPr>
        <w:t xml:space="preserve"> and reserves the right, in its sole discretion, to disqualify any </w:t>
      </w:r>
      <w:r w:rsidR="00860183" w:rsidRPr="00220B9F">
        <w:rPr>
          <w:rFonts w:ascii="Arial" w:eastAsia="Times New Roman" w:hAnsi="Arial" w:cs="Arial"/>
        </w:rPr>
        <w:t>transaction that</w:t>
      </w:r>
      <w:r w:rsidRPr="00220B9F">
        <w:rPr>
          <w:rFonts w:ascii="Arial" w:eastAsia="Times New Roman" w:hAnsi="Arial" w:cs="Arial"/>
        </w:rPr>
        <w:t xml:space="preserve"> the Promoter has reason to believe has breached any of these Terms and Conditions, tampered with the entry process</w:t>
      </w:r>
      <w:r w:rsidRPr="00220B9F">
        <w:rPr>
          <w:rFonts w:ascii="Arial" w:eastAsia="Times New Roman" w:hAnsi="Arial" w:cs="Arial"/>
          <w:b/>
          <w:bCs/>
        </w:rPr>
        <w:t xml:space="preserve"> </w:t>
      </w:r>
      <w:r w:rsidRPr="00220B9F">
        <w:rPr>
          <w:rFonts w:ascii="Arial" w:eastAsia="Times New Roman" w:hAnsi="Arial" w:cs="Arial"/>
          <w:bCs/>
        </w:rPr>
        <w:t>or engaged in any unlawful or other improper misconduct calculated to jeopardise fair and proper conduct of the</w:t>
      </w:r>
      <w:r w:rsidRPr="00220B9F">
        <w:rPr>
          <w:rFonts w:ascii="Arial" w:eastAsia="Times New Roman" w:hAnsi="Arial" w:cs="Arial"/>
          <w:b/>
          <w:bCs/>
        </w:rPr>
        <w:t xml:space="preserve"> </w:t>
      </w:r>
      <w:r w:rsidR="00B61085" w:rsidRPr="00220B9F">
        <w:rPr>
          <w:rFonts w:ascii="Arial" w:eastAsia="Times New Roman" w:hAnsi="Arial" w:cs="Arial"/>
        </w:rPr>
        <w:t>fundraising</w:t>
      </w:r>
      <w:r w:rsidR="00B61085" w:rsidRPr="00220B9F">
        <w:rPr>
          <w:rFonts w:ascii="Arial" w:eastAsia="Times New Roman" w:hAnsi="Arial" w:cs="Arial"/>
          <w:b/>
          <w:bCs/>
        </w:rPr>
        <w:t xml:space="preserve"> </w:t>
      </w:r>
      <w:r w:rsidRPr="00220B9F">
        <w:rPr>
          <w:rFonts w:ascii="Arial" w:eastAsia="Times New Roman" w:hAnsi="Arial" w:cs="Arial"/>
          <w:bCs/>
        </w:rPr>
        <w:t>pro</w:t>
      </w:r>
      <w:r w:rsidR="00B61085" w:rsidRPr="00220B9F">
        <w:rPr>
          <w:rFonts w:ascii="Arial" w:eastAsia="Times New Roman" w:hAnsi="Arial" w:cs="Arial"/>
          <w:bCs/>
        </w:rPr>
        <w:t>gram</w:t>
      </w:r>
      <w:r w:rsidRPr="00220B9F">
        <w:rPr>
          <w:rFonts w:ascii="Arial" w:eastAsia="Times New Roman" w:hAnsi="Arial" w:cs="Arial"/>
        </w:rPr>
        <w:t xml:space="preserve">. Errors and omissions may be accepted at the Promoter's discretion. Failure by the Promoter to enforce any of its rights at any stage does not constitute a waiver of those rights. </w:t>
      </w:r>
      <w:r w:rsidRPr="00220B9F">
        <w:rPr>
          <w:rFonts w:ascii="Arial" w:eastAsia="Times New Roman" w:hAnsi="Arial" w:cs="Arial"/>
          <w:lang w:val="en-US"/>
        </w:rPr>
        <w:t>The Promoter's legal rights to recover damages or other compensation from such an offender are reserved</w:t>
      </w:r>
      <w:r w:rsidRPr="00220B9F">
        <w:rPr>
          <w:rFonts w:ascii="Arial" w:eastAsia="Times New Roman" w:hAnsi="Arial" w:cs="Arial"/>
        </w:rPr>
        <w:t>.</w:t>
      </w:r>
    </w:p>
    <w:p w14:paraId="3203F77F" w14:textId="77777777" w:rsidR="00672F44" w:rsidRPr="008C1FD1" w:rsidRDefault="00672F44" w:rsidP="00672F44">
      <w:pPr>
        <w:spacing w:after="0" w:line="240" w:lineRule="auto"/>
        <w:ind w:left="-720"/>
        <w:jc w:val="both"/>
        <w:rPr>
          <w:rFonts w:ascii="Arial" w:eastAsia="Times New Roman" w:hAnsi="Arial" w:cs="Arial"/>
        </w:rPr>
      </w:pPr>
    </w:p>
    <w:p w14:paraId="22AB98E5" w14:textId="77777777" w:rsidR="00220B9F" w:rsidRDefault="00672F44" w:rsidP="0098747F">
      <w:pPr>
        <w:numPr>
          <w:ilvl w:val="0"/>
          <w:numId w:val="1"/>
        </w:numPr>
        <w:tabs>
          <w:tab w:val="num" w:pos="0"/>
        </w:tabs>
        <w:spacing w:after="0" w:line="240" w:lineRule="auto"/>
        <w:jc w:val="both"/>
        <w:rPr>
          <w:rFonts w:ascii="Arial" w:eastAsia="Times New Roman" w:hAnsi="Arial" w:cs="Arial"/>
        </w:rPr>
      </w:pPr>
      <w:r w:rsidRPr="008C1FD1">
        <w:rPr>
          <w:rFonts w:ascii="Arial" w:eastAsia="Times New Roman" w:hAnsi="Arial" w:cs="Arial"/>
        </w:rPr>
        <w:t>Incomplete or indecipherable</w:t>
      </w:r>
      <w:r w:rsidRPr="008C1FD1">
        <w:rPr>
          <w:rFonts w:ascii="Arial" w:eastAsia="Times New Roman" w:hAnsi="Arial" w:cs="Arial"/>
          <w:b/>
          <w:bCs/>
        </w:rPr>
        <w:t xml:space="preserve"> </w:t>
      </w:r>
      <w:r w:rsidR="002C4B75" w:rsidRPr="002C4B75">
        <w:rPr>
          <w:rFonts w:ascii="Arial" w:eastAsia="Times New Roman" w:hAnsi="Arial" w:cs="Arial"/>
        </w:rPr>
        <w:t>merchant transaction</w:t>
      </w:r>
      <w:r w:rsidR="002C4B75">
        <w:rPr>
          <w:rFonts w:ascii="Arial" w:eastAsia="Times New Roman" w:hAnsi="Arial" w:cs="Arial"/>
          <w:b/>
          <w:bCs/>
        </w:rPr>
        <w:t xml:space="preserve"> </w:t>
      </w:r>
      <w:r w:rsidRPr="008C1FD1">
        <w:rPr>
          <w:rFonts w:ascii="Arial" w:eastAsia="Times New Roman" w:hAnsi="Arial" w:cs="Arial"/>
        </w:rPr>
        <w:t>entries will be deemed invalid.</w:t>
      </w:r>
      <w:bookmarkStart w:id="0" w:name="_(_Apple_products"/>
      <w:bookmarkEnd w:id="0"/>
    </w:p>
    <w:p w14:paraId="2C154343" w14:textId="77777777" w:rsidR="00220B9F" w:rsidRDefault="00220B9F" w:rsidP="00220B9F">
      <w:pPr>
        <w:pStyle w:val="ListParagraph"/>
        <w:rPr>
          <w:rFonts w:ascii="Arial" w:eastAsia="Times New Roman" w:hAnsi="Arial" w:cs="Arial"/>
          <w:lang w:eastAsia="en-AU"/>
        </w:rPr>
      </w:pPr>
    </w:p>
    <w:p w14:paraId="68DD2F58" w14:textId="068E7859" w:rsidR="00672F44" w:rsidRPr="0098747F" w:rsidRDefault="00672F44" w:rsidP="0098747F">
      <w:pPr>
        <w:numPr>
          <w:ilvl w:val="0"/>
          <w:numId w:val="1"/>
        </w:numPr>
        <w:tabs>
          <w:tab w:val="num" w:pos="0"/>
        </w:tabs>
        <w:spacing w:after="0" w:line="240" w:lineRule="auto"/>
        <w:jc w:val="both"/>
        <w:rPr>
          <w:rFonts w:ascii="Arial" w:eastAsia="Times New Roman" w:hAnsi="Arial" w:cs="Arial"/>
        </w:rPr>
      </w:pPr>
      <w:r w:rsidRPr="0098747F">
        <w:rPr>
          <w:rFonts w:ascii="Arial" w:eastAsia="Times New Roman" w:hAnsi="Arial" w:cs="Arial"/>
          <w:lang w:eastAsia="en-AU"/>
        </w:rPr>
        <w:t xml:space="preserve">Nothing in these Terms and Conditions limits, </w:t>
      </w:r>
      <w:proofErr w:type="gramStart"/>
      <w:r w:rsidRPr="0098747F">
        <w:rPr>
          <w:rFonts w:ascii="Arial" w:eastAsia="Times New Roman" w:hAnsi="Arial" w:cs="Arial"/>
          <w:lang w:eastAsia="en-AU"/>
        </w:rPr>
        <w:t>excludes</w:t>
      </w:r>
      <w:proofErr w:type="gramEnd"/>
      <w:r w:rsidRPr="0098747F">
        <w:rPr>
          <w:rFonts w:ascii="Arial" w:eastAsia="Times New Roman" w:hAnsi="Arial" w:cs="Arial"/>
          <w:lang w:eastAsia="en-AU"/>
        </w:rPr>
        <w:t xml:space="preserve"> or modifies or purports to limit, exclude or modify </w:t>
      </w:r>
      <w:r w:rsidRPr="0098747F">
        <w:rPr>
          <w:rFonts w:ascii="Arial" w:eastAsia="Times New Roman" w:hAnsi="Arial" w:cs="Arial"/>
          <w:bCs/>
          <w:lang w:eastAsia="en-AU"/>
        </w:rPr>
        <w:t>the statutory consumer guarantees as provided under the Competition and Consumer Act, as well as any other implied warranties under the ASIC Act or similar consumer protection laws</w:t>
      </w:r>
      <w:r w:rsidRPr="0098747F">
        <w:rPr>
          <w:rFonts w:ascii="Arial" w:eastAsia="Times New Roman" w:hAnsi="Arial" w:cs="Arial"/>
          <w:lang w:eastAsia="en-AU"/>
        </w:rPr>
        <w:t xml:space="preserve"> in the States and Territories of Australia (“</w:t>
      </w:r>
      <w:r w:rsidRPr="0098747F">
        <w:rPr>
          <w:rFonts w:ascii="Arial" w:eastAsia="Times New Roman" w:hAnsi="Arial" w:cs="Arial"/>
          <w:b/>
          <w:lang w:eastAsia="en-AU"/>
        </w:rPr>
        <w:t>Non-Excludable Guarantees</w:t>
      </w:r>
      <w:r w:rsidRPr="0098747F">
        <w:rPr>
          <w:rFonts w:ascii="Arial" w:eastAsia="Times New Roman" w:hAnsi="Arial" w:cs="Arial"/>
          <w:lang w:eastAsia="en-AU"/>
        </w:rPr>
        <w:t xml:space="preserve">”). Except for any liability that cannot by law be excluded, including the Non-Excludable Guarantees, the Promoter (including its respective officers, </w:t>
      </w:r>
      <w:proofErr w:type="gramStart"/>
      <w:r w:rsidRPr="0098747F">
        <w:rPr>
          <w:rFonts w:ascii="Arial" w:eastAsia="Times New Roman" w:hAnsi="Arial" w:cs="Arial"/>
          <w:lang w:eastAsia="en-AU"/>
        </w:rPr>
        <w:t>employees</w:t>
      </w:r>
      <w:proofErr w:type="gramEnd"/>
      <w:r w:rsidRPr="0098747F">
        <w:rPr>
          <w:rFonts w:ascii="Arial" w:eastAsia="Times New Roman" w:hAnsi="Arial" w:cs="Arial"/>
          <w:lang w:eastAsia="en-AU"/>
        </w:rPr>
        <w:t xml:space="preserve"> and agents) excludes all liability (including negligence), for any personal injury; or any loss or damage (including loss of opportunity); whether direct, indirect, special or consequential, arising in any way out of the promotion.</w:t>
      </w:r>
    </w:p>
    <w:p w14:paraId="386C91D1" w14:textId="77777777" w:rsidR="000860AE" w:rsidRDefault="000860AE" w:rsidP="000860AE">
      <w:pPr>
        <w:pStyle w:val="ListParagraph"/>
        <w:rPr>
          <w:rFonts w:ascii="Arial" w:eastAsia="Times New Roman" w:hAnsi="Arial" w:cs="Arial"/>
          <w:lang w:val="en-US"/>
        </w:rPr>
      </w:pPr>
    </w:p>
    <w:p w14:paraId="7E0B598D" w14:textId="3481B669" w:rsidR="00672F44" w:rsidRDefault="00672F44" w:rsidP="00672F44">
      <w:pPr>
        <w:numPr>
          <w:ilvl w:val="0"/>
          <w:numId w:val="1"/>
        </w:numPr>
        <w:tabs>
          <w:tab w:val="num" w:pos="0"/>
        </w:tabs>
        <w:spacing w:after="0" w:line="240" w:lineRule="auto"/>
        <w:jc w:val="both"/>
        <w:rPr>
          <w:rFonts w:ascii="Arial" w:eastAsia="Times New Roman" w:hAnsi="Arial" w:cs="Arial"/>
        </w:rPr>
      </w:pPr>
      <w:r>
        <w:rPr>
          <w:rFonts w:ascii="Arial" w:eastAsia="Times New Roman" w:hAnsi="Arial" w:cs="Arial"/>
        </w:rPr>
        <w:t>The Promoter collects personal information (</w:t>
      </w:r>
      <w:r w:rsidRPr="00672F44">
        <w:rPr>
          <w:rFonts w:ascii="Arial" w:eastAsia="Times New Roman" w:hAnsi="Arial" w:cs="Arial"/>
          <w:b/>
          <w:bCs/>
        </w:rPr>
        <w:t>“PI</w:t>
      </w:r>
      <w:r>
        <w:rPr>
          <w:rFonts w:ascii="Arial" w:eastAsia="Times New Roman" w:hAnsi="Arial" w:cs="Arial"/>
          <w:b/>
          <w:bCs/>
        </w:rPr>
        <w:t>”</w:t>
      </w:r>
      <w:r>
        <w:rPr>
          <w:rFonts w:ascii="Arial" w:eastAsia="Times New Roman" w:hAnsi="Arial" w:cs="Arial"/>
        </w:rPr>
        <w:t xml:space="preserve">) in order to conduct the promotion and may, for this purpose, disclose such PI to third parties, including but not limited to agents, contractors, service providers, prize suppliers and, as required, to Australian regulatory authorities.  Entry is conditional on providing the PI.  The Promoter will also </w:t>
      </w:r>
      <w:proofErr w:type="gramStart"/>
      <w:r>
        <w:rPr>
          <w:rFonts w:ascii="Arial" w:eastAsia="Times New Roman" w:hAnsi="Arial" w:cs="Arial"/>
        </w:rPr>
        <w:t>use</w:t>
      </w:r>
      <w:proofErr w:type="gramEnd"/>
      <w:r>
        <w:rPr>
          <w:rFonts w:ascii="Arial" w:eastAsia="Times New Roman" w:hAnsi="Arial" w:cs="Arial"/>
        </w:rPr>
        <w:t xml:space="preserve"> and handle PI as set out in its Privacy Policy which can be viewed on the Club’s website.   In addition to any use that may be outlined in the Promoter’s Privacy Policy, the Promoter may, for an indefinite period, unless otherwise advised, use the PI or promotional, marketing, publicity, research and profiling purposes, including sending electronic messages or telephoning the entrant.   The Privacy Policy also includes information</w:t>
      </w:r>
      <w:r w:rsidR="006D209C">
        <w:rPr>
          <w:rFonts w:ascii="Arial" w:eastAsia="Times New Roman" w:hAnsi="Arial" w:cs="Arial"/>
        </w:rPr>
        <w:t xml:space="preserve"> about how entrants may opt out, access, update or correct their PI, how entrants may complain about a breach of the Australian Privacy Principles or any other applicable law and how those complaints will be dealt</w:t>
      </w:r>
      <w:r w:rsidR="000860AE">
        <w:rPr>
          <w:rFonts w:ascii="Arial" w:eastAsia="Times New Roman" w:hAnsi="Arial" w:cs="Arial"/>
        </w:rPr>
        <w:t xml:space="preserve"> </w:t>
      </w:r>
      <w:r w:rsidR="006D209C">
        <w:rPr>
          <w:rFonts w:ascii="Arial" w:eastAsia="Times New Roman" w:hAnsi="Arial" w:cs="Arial"/>
        </w:rPr>
        <w:t>with.  All entries become the property of the Promoter.  The Promoter will not discl</w:t>
      </w:r>
      <w:r w:rsidR="000860AE">
        <w:rPr>
          <w:rFonts w:ascii="Arial" w:eastAsia="Times New Roman" w:hAnsi="Arial" w:cs="Arial"/>
        </w:rPr>
        <w:t>o</w:t>
      </w:r>
      <w:r w:rsidR="006D209C">
        <w:rPr>
          <w:rFonts w:ascii="Arial" w:eastAsia="Times New Roman" w:hAnsi="Arial" w:cs="Arial"/>
        </w:rPr>
        <w:t>se PI to any entity outside of Australia.</w:t>
      </w:r>
    </w:p>
    <w:p w14:paraId="6F3FBA93" w14:textId="77777777" w:rsidR="000860AE" w:rsidRDefault="000860AE" w:rsidP="000860AE">
      <w:pPr>
        <w:spacing w:after="0" w:line="240" w:lineRule="auto"/>
        <w:ind w:left="720"/>
        <w:jc w:val="both"/>
        <w:rPr>
          <w:rFonts w:ascii="Arial" w:eastAsia="Times New Roman" w:hAnsi="Arial" w:cs="Arial"/>
        </w:rPr>
      </w:pPr>
    </w:p>
    <w:p w14:paraId="5030C49F" w14:textId="77777777" w:rsidR="006D209C" w:rsidRPr="008C1FD1" w:rsidRDefault="006D209C" w:rsidP="006D209C">
      <w:pPr>
        <w:numPr>
          <w:ilvl w:val="0"/>
          <w:numId w:val="1"/>
        </w:numPr>
        <w:tabs>
          <w:tab w:val="num" w:pos="0"/>
        </w:tabs>
        <w:spacing w:after="0" w:line="240" w:lineRule="auto"/>
        <w:jc w:val="both"/>
        <w:rPr>
          <w:rFonts w:ascii="Arial" w:eastAsia="Times New Roman" w:hAnsi="Arial" w:cs="Arial"/>
        </w:rPr>
      </w:pPr>
      <w:r w:rsidRPr="008C1FD1">
        <w:rPr>
          <w:rFonts w:ascii="Arial" w:eastAsia="Times New Roman" w:hAnsi="Arial" w:cs="Arial"/>
        </w:rPr>
        <w:t xml:space="preserve">The Promoter is Lindfield Junior Rugby Club (ABN 73 430 631 393) </w:t>
      </w:r>
      <w:r w:rsidRPr="008C1FD1">
        <w:rPr>
          <w:rFonts w:ascii="Arial" w:eastAsia="Times New Roman" w:hAnsi="Arial" w:cs="Arial"/>
          <w:bCs/>
        </w:rPr>
        <w:t>of Tryon Road, East Lindfield NSW 2070</w:t>
      </w:r>
      <w:r w:rsidRPr="008C1FD1">
        <w:rPr>
          <w:rFonts w:ascii="Arial" w:eastAsia="Times New Roman" w:hAnsi="Arial" w:cs="Arial"/>
        </w:rPr>
        <w:t>, telephone (02) 0411 255 356</w:t>
      </w:r>
    </w:p>
    <w:p w14:paraId="1ED33EAD" w14:textId="77777777" w:rsidR="006D209C" w:rsidRPr="008C1FD1" w:rsidRDefault="006D209C" w:rsidP="000860AE">
      <w:pPr>
        <w:spacing w:after="0" w:line="240" w:lineRule="auto"/>
        <w:ind w:left="720"/>
        <w:jc w:val="both"/>
        <w:rPr>
          <w:rFonts w:ascii="Arial" w:eastAsia="Times New Roman" w:hAnsi="Arial" w:cs="Arial"/>
        </w:rPr>
      </w:pPr>
    </w:p>
    <w:p w14:paraId="72F2741A" w14:textId="77777777" w:rsidR="002963EE" w:rsidRDefault="002963EE"/>
    <w:sectPr w:rsidR="00296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44"/>
    <w:rsid w:val="000860AE"/>
    <w:rsid w:val="00086B5E"/>
    <w:rsid w:val="000A62F1"/>
    <w:rsid w:val="00124A87"/>
    <w:rsid w:val="00161B60"/>
    <w:rsid w:val="001B73DC"/>
    <w:rsid w:val="00220B9F"/>
    <w:rsid w:val="002963EE"/>
    <w:rsid w:val="002C4B75"/>
    <w:rsid w:val="004C67B2"/>
    <w:rsid w:val="0052605D"/>
    <w:rsid w:val="0053105C"/>
    <w:rsid w:val="005D1264"/>
    <w:rsid w:val="005D6DD0"/>
    <w:rsid w:val="00600DD0"/>
    <w:rsid w:val="00672F44"/>
    <w:rsid w:val="006D209C"/>
    <w:rsid w:val="006D45E2"/>
    <w:rsid w:val="00730E9F"/>
    <w:rsid w:val="00783F34"/>
    <w:rsid w:val="00785511"/>
    <w:rsid w:val="00842BC7"/>
    <w:rsid w:val="00860183"/>
    <w:rsid w:val="009200F3"/>
    <w:rsid w:val="00944429"/>
    <w:rsid w:val="00953629"/>
    <w:rsid w:val="00983612"/>
    <w:rsid w:val="0098747F"/>
    <w:rsid w:val="009D4159"/>
    <w:rsid w:val="00A04F52"/>
    <w:rsid w:val="00A60BC3"/>
    <w:rsid w:val="00B473E2"/>
    <w:rsid w:val="00B61085"/>
    <w:rsid w:val="00BB1495"/>
    <w:rsid w:val="00C231E4"/>
    <w:rsid w:val="00CB6800"/>
    <w:rsid w:val="00E02A8D"/>
    <w:rsid w:val="00E84BC8"/>
    <w:rsid w:val="00FC2841"/>
    <w:rsid w:val="00FE7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7667"/>
  <w15:chartTrackingRefBased/>
  <w15:docId w15:val="{CA36B755-B292-4FF0-BEF5-E0139FA1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44"/>
    <w:rPr>
      <w:rFonts w:ascii="Segoe UI" w:hAnsi="Segoe UI" w:cs="Segoe UI"/>
      <w:sz w:val="18"/>
      <w:szCs w:val="18"/>
    </w:rPr>
  </w:style>
  <w:style w:type="paragraph" w:styleId="ListParagraph">
    <w:name w:val="List Paragraph"/>
    <w:basedOn w:val="Normal"/>
    <w:uiPriority w:val="34"/>
    <w:qFormat/>
    <w:rsid w:val="00672F44"/>
    <w:pPr>
      <w:ind w:left="720"/>
      <w:contextualSpacing/>
    </w:pPr>
  </w:style>
  <w:style w:type="character" w:styleId="Hyperlink">
    <w:name w:val="Hyperlink"/>
    <w:basedOn w:val="DefaultParagraphFont"/>
    <w:uiPriority w:val="99"/>
    <w:unhideWhenUsed/>
    <w:rsid w:val="00672F44"/>
    <w:rPr>
      <w:color w:val="0563C1" w:themeColor="hyperlink"/>
      <w:u w:val="single"/>
    </w:rPr>
  </w:style>
  <w:style w:type="character" w:styleId="UnresolvedMention">
    <w:name w:val="Unresolved Mention"/>
    <w:basedOn w:val="DefaultParagraphFont"/>
    <w:uiPriority w:val="99"/>
    <w:semiHidden/>
    <w:unhideWhenUsed/>
    <w:rsid w:val="00672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F8764E2D3874395DDB494E6C3D71E" ma:contentTypeVersion="10" ma:contentTypeDescription="Create a new document." ma:contentTypeScope="" ma:versionID="22b9b01118cee3141c2f79dc64b723ed">
  <xsd:schema xmlns:xsd="http://www.w3.org/2001/XMLSchema" xmlns:xs="http://www.w3.org/2001/XMLSchema" xmlns:p="http://schemas.microsoft.com/office/2006/metadata/properties" xmlns:ns2="3458644c-6634-4f17-9b98-b358813300b2" targetNamespace="http://schemas.microsoft.com/office/2006/metadata/properties" ma:root="true" ma:fieldsID="495db25ee3df182a896c8b4e87e9b0d1" ns2:_="">
    <xsd:import namespace="3458644c-6634-4f17-9b98-b358813300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8644c-6634-4f17-9b98-b35881330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95085-F868-4DFD-B2B6-8876516AF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8644c-6634-4f17-9b98-b35881330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A4C23-4536-41DF-8849-82735EFD23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B799F-9B58-4317-8182-120F0B6D1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Howarth</dc:creator>
  <cp:keywords/>
  <dc:description/>
  <cp:lastModifiedBy>Brian Paterson</cp:lastModifiedBy>
  <cp:revision>20</cp:revision>
  <dcterms:created xsi:type="dcterms:W3CDTF">2021-04-02T01:13:00Z</dcterms:created>
  <dcterms:modified xsi:type="dcterms:W3CDTF">2021-04-02T01:28:00Z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0x0101007EBF8764E2D3874395DDB494E6C3D71E</vt:lpwstr>
  </property>
</Properties>
</file>